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D23" w:rsidRDefault="00736B69" w:rsidP="000333B7">
      <w:pPr>
        <w:widowControl w:val="0"/>
        <w:spacing w:before="120"/>
        <w:jc w:val="center"/>
        <w:rPr>
          <w:rFonts w:cs="Al-Kharashi 4"/>
          <w:sz w:val="40"/>
          <w:szCs w:val="40"/>
          <w:rtl/>
        </w:rPr>
      </w:pPr>
      <w:r>
        <w:rPr>
          <w:rFonts w:cs="Al-Kharashi 4"/>
          <w:sz w:val="40"/>
          <w:szCs w:val="40"/>
          <w:rtl/>
        </w:rPr>
        <w:t>المَبْحَث الثَّالِث</w:t>
      </w:r>
    </w:p>
    <w:p w:rsidR="00417D23" w:rsidRPr="00BE1B87" w:rsidRDefault="00736B69" w:rsidP="000333B7">
      <w:pPr>
        <w:widowControl w:val="0"/>
        <w:spacing w:before="120"/>
        <w:jc w:val="center"/>
        <w:rPr>
          <w:rFonts w:cs="Hesham Cortoba"/>
          <w:sz w:val="40"/>
          <w:szCs w:val="40"/>
          <w:rtl/>
        </w:rPr>
      </w:pPr>
      <w:r w:rsidRPr="00BE1B87">
        <w:rPr>
          <w:rFonts w:cs="Hesham Cortoba"/>
          <w:sz w:val="40"/>
          <w:szCs w:val="40"/>
          <w:rtl/>
        </w:rPr>
        <w:t>خصائص التفسير  في هذا القرن</w:t>
      </w:r>
    </w:p>
    <w:p w:rsidR="00417D23" w:rsidRDefault="00736B69" w:rsidP="00BE1B87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 xml:space="preserve">من الضروري </w:t>
      </w:r>
      <w:r w:rsidR="00BE1B87">
        <w:rPr>
          <w:rFonts w:hint="cs"/>
          <w:rtl/>
        </w:rPr>
        <w:t>أن ن</w:t>
      </w:r>
      <w:r>
        <w:rPr>
          <w:rtl/>
        </w:rPr>
        <w:t>عرف أب</w:t>
      </w:r>
      <w:r w:rsidR="00BE1B87">
        <w:rPr>
          <w:rFonts w:hint="cs"/>
          <w:rtl/>
        </w:rPr>
        <w:t>ر</w:t>
      </w:r>
      <w:r>
        <w:rPr>
          <w:rtl/>
        </w:rPr>
        <w:t>ز خصائص التفسير في العراق أبان القرن الأول ، وم</w:t>
      </w:r>
      <w:r w:rsidR="00043BE4">
        <w:rPr>
          <w:rFonts w:hint="cs"/>
          <w:rtl/>
        </w:rPr>
        <w:t>م</w:t>
      </w:r>
      <w:r>
        <w:rPr>
          <w:rtl/>
        </w:rPr>
        <w:t>ا تجدر الإشارة إليه أن هذا القرن شهد عهدين هما ، عهد الصحابة ـ رَضِيَ اللهُ عَنْهُم ـ ، وعهد التابعين لهم ـ رَحمَهُم         اللهُ ـ .</w:t>
      </w:r>
    </w:p>
    <w:p w:rsidR="00417D23" w:rsidRDefault="00736B69" w:rsidP="00BE1B8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rtl/>
        </w:rPr>
        <w:t xml:space="preserve">وسبب هذا التمييز : أن تفسير الصحابة ـ رَضِيَ اللهُ عَنْهُم ـ يعدّ أحد مصادر التفسير بعد الكتاب والسنة ، وفي هذا </w:t>
      </w:r>
      <w:r>
        <w:rPr>
          <w:snapToGrid w:val="0"/>
          <w:rtl/>
        </w:rPr>
        <w:t xml:space="preserve">يقول ابن كثير : " إذا لم نجد التفسير في القرآن ولا في السُّنَّة ، رجعنا في ذلك إلى أقوال الصحابة فإنهم أدرى بذلك ، لِمَا شاهدوه من القرائن والأحوال التي اختُصوا بها ، ولِمَا لهم من الفهم التامَ ، والعلم الصحيح ، والعمل الصالح </w:t>
      </w:r>
      <w:r w:rsidR="00BE1B87">
        <w:rPr>
          <w:rFonts w:hint="cs"/>
          <w:snapToGrid w:val="0"/>
          <w:rtl/>
        </w:rPr>
        <w:t>و</w:t>
      </w:r>
      <w:r>
        <w:rPr>
          <w:snapToGrid w:val="0"/>
          <w:rtl/>
        </w:rPr>
        <w:t>لاسيما علماؤهم وكبراؤهم ، كالأئمة الأربعة ، والخلفاء الراشدين ، والأئمة المهتدين المهديين ، وعبد الله بن مسعود رضى الله عنهم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لذلك كانوا الحكم والمرجع في الخلافات التي تحصل ، وأن غالب التابعين في هذا العهد ساروا على منوال الصحابة في تفسيرهم للقرآن الكريم .</w:t>
      </w:r>
    </w:p>
    <w:p w:rsidR="00417D23" w:rsidRDefault="00736B69" w:rsidP="00BE1B8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وعلى العموم ، فأن أبرز خصائص تفسير القرآن في العراق في هذا العهد ، أجمل</w:t>
      </w:r>
      <w:r w:rsidR="00BE1B87">
        <w:rPr>
          <w:rFonts w:hint="cs"/>
          <w:snapToGrid w:val="0"/>
          <w:rtl/>
        </w:rPr>
        <w:t>ها</w:t>
      </w:r>
      <w:r>
        <w:rPr>
          <w:snapToGrid w:val="0"/>
          <w:rtl/>
        </w:rPr>
        <w:t xml:space="preserve"> الدكتور الذهبي بما يأتي :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أولاً ـ لم يُفَسَّر القرآن جميعه ، وإنما فُسِّر بعض منه ، وهو ما غمض فهمه ، وهذا الغموض كان يزداد كلما بَعُد الناس عن عصر النبي ـ صلى الله عليه وسلم ـ والصحابة ، فكان التفسير يتزايد تبعاً لتزايد هذا الغموض ، إلى أن تم تفسير آيات القرآن جميعها .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lastRenderedPageBreak/>
        <w:t>ثانياً ـ قِلَّة الاختلاف بينهم في فهم معانيه .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 xml:space="preserve">ثالثاً ـ كانوا كثيراً ما يكتفون بالمعنى الإجمالي ، ولا يُلزمون أنفسهم بتفهم معانيه تفصيلاً ، فيكفى أن يفهموا من مثل قوله تعالى :         </w:t>
      </w:r>
      <w:r>
        <w:rPr>
          <w:snapToGrid w:val="0"/>
        </w:rPr>
        <w:sym w:font="AGA Arabesque" w:char="F05D"/>
      </w:r>
      <w:r>
        <w:rPr>
          <w:snapToGrid w:val="0"/>
          <w:rtl/>
        </w:rPr>
        <w:t xml:space="preserve"> </w:t>
      </w:r>
      <w:r>
        <w:rPr>
          <w:b/>
          <w:bCs/>
          <w:snapToGrid w:val="0"/>
          <w:rtl/>
        </w:rPr>
        <w:t xml:space="preserve">وَفَاكِهَةً وَأَبّاً </w:t>
      </w:r>
      <w:r>
        <w:rPr>
          <w:snapToGrid w:val="0"/>
        </w:rPr>
        <w:sym w:font="AGA Arabesque" w:char="F05B"/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3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أنه تعداد لِنعمَ الله تعالى على عباده.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 xml:space="preserve">رابعاً ـ الاقتصار على توضيح المعنى اللغوي الذي فهموه بأخصر لفظ ، مثل قولهم : </w:t>
      </w:r>
      <w:r>
        <w:rPr>
          <w:snapToGrid w:val="0"/>
        </w:rPr>
        <w:sym w:font="AGA Arabesque" w:char="F05D"/>
      </w:r>
      <w:r>
        <w:rPr>
          <w:snapToGrid w:val="0"/>
          <w:rtl/>
        </w:rPr>
        <w:t xml:space="preserve"> </w:t>
      </w:r>
      <w:r>
        <w:rPr>
          <w:b/>
          <w:bCs/>
          <w:snapToGrid w:val="0"/>
          <w:rtl/>
        </w:rPr>
        <w:t xml:space="preserve">غَيْرَ مُتَجَانِفٍ لإِثْمٍ </w:t>
      </w:r>
      <w:r>
        <w:rPr>
          <w:snapToGrid w:val="0"/>
        </w:rPr>
        <w:sym w:font="AGA Arabesque" w:char="F05B"/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4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، أي : غير متعرض لمعصية ، فإن زادوا على ذلك فمما عرفوه من أسباب        النزول .</w:t>
      </w:r>
    </w:p>
    <w:p w:rsidR="00417D23" w:rsidRDefault="00736B69" w:rsidP="00BE1B87">
      <w:pPr>
        <w:pStyle w:val="BodyTextIndent"/>
        <w:rPr>
          <w:snapToGrid w:val="0"/>
          <w:rtl/>
        </w:rPr>
      </w:pPr>
      <w:r>
        <w:rPr>
          <w:snapToGrid w:val="0"/>
          <w:rtl/>
        </w:rPr>
        <w:t>خامساً ـ ندرة الاستنباط العلمي للأحكام الفقهية من الآيات القرآنية وع</w:t>
      </w:r>
      <w:r w:rsidR="00BE1B87">
        <w:rPr>
          <w:rFonts w:hint="cs"/>
          <w:snapToGrid w:val="0"/>
          <w:rtl/>
        </w:rPr>
        <w:t>د</w:t>
      </w:r>
      <w:r>
        <w:rPr>
          <w:snapToGrid w:val="0"/>
          <w:rtl/>
        </w:rPr>
        <w:t>م وجود الانتصار للمذاهب الدينية بما جاء في كتاب الله ، نظراً لاتحادهم في العقيدة ، ولأن الاختلاف المذهبي لم يقم إلا بعد عصر الصحابة ـ رضى الله عنهم ـ .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سادساً ـ لم يُدَّون شيء من التفسير في هذا العصر ؛ لأن التدوين لم يكن إلا في القرآن الثاني ، نعم أثبت بعض الصحابة بعض التفسير في مصاحفهم فظنها بعض المتأخرين من وجوه القرآن التي نزل بها من عند الله تعالى .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سابعاً ـ اتخذ التفسير في هذه المرحلة شكل الحديث ، بل كان جزءاً منه وفرعاً من فروعه ، ولم يتخذ التفسير له شكلاً منظماً ، بل كانت هذه التفسيرات تُروى منثورة لآيات متفرقة ، كما كان الشأن في رواية الحديث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5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 xml:space="preserve">ثَامِناً ـ يمتاز أهل العراق بأنهم أهل الرأي ، وهذه ظاهرة نجدها </w:t>
      </w:r>
      <w:r>
        <w:rPr>
          <w:snapToGrid w:val="0"/>
          <w:rtl/>
        </w:rPr>
        <w:lastRenderedPageBreak/>
        <w:t xml:space="preserve">بكثرة في مسائل الخلاف ، وإن ابن مسعود ـ رَضِيَ اللهُ عَنْه ـ هو الذي وضع الأساس لهذه الطريقة في الاستدلال ، ثم توارثها عنه علماء العراق ومن الطبيعي أن تؤثر هذه الطريقة في مدرسة التفسير ، فيكثر </w:t>
      </w:r>
      <w:r w:rsidR="009F7F9D">
        <w:rPr>
          <w:rFonts w:hint="cs"/>
          <w:snapToGrid w:val="0"/>
          <w:rtl/>
        </w:rPr>
        <w:t>ال</w:t>
      </w:r>
      <w:r>
        <w:rPr>
          <w:snapToGrid w:val="0"/>
          <w:rtl/>
        </w:rPr>
        <w:t>تفسير بالرأي والاجتهاد ؛ لأن استنباط مسائل الخلاف الشرعية ، نتيجة من نتائج إعمال الرأي في فهم نصوص القرآن والسُّنَّة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6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وأبرز خصائص التفسير في عهد التابعين :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 xml:space="preserve">أولاً ـ تسرب </w:t>
      </w:r>
      <w:r w:rsidR="00043BE4">
        <w:rPr>
          <w:snapToGrid w:val="0"/>
          <w:rtl/>
        </w:rPr>
        <w:t>كثير من الإسرائيليات</w:t>
      </w:r>
      <w:r>
        <w:rPr>
          <w:snapToGrid w:val="0"/>
          <w:rtl/>
        </w:rPr>
        <w:t xml:space="preserve"> إلى تفسير القرآن الكريم ، وذلك لكثرة مَن دخل من أهل الكتاب في الإسلام ، وكان لا يزال عالقاً بأذهانهم من الأخبار ما لا يتصل بالأحكام الشرعية ، كأخبار بدء الخليقة ، وأسرار الوجود ، وبدء الكائنات ، وكثير من القصص ، وكانت النفوس ميَّالة لسماع التفاصيل عما يشير إليه القرآن من أحداث يهودية أو نصرانية .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ثانياً ـ ظل التفسير محتفظاً بطابع التلقي والرواية ، إلا أنه لم يكن تلقياً ورواية بالمعنى الشامل كما هو الشأن في عصر النَّبِيّ ـ صَلَّى اللهُ عَلَيْهِ وَسَلَّم ـ وأصحابه ، بل كان تلقياً ورواية يغلب عليهما طابع الاختصاص ، فأهل كل مصر يعنون ـ بوجه خاص ـ بالتلقي والرواية عن إمام مصرهم ، فالعراقيون أكثروا من الرواية عن ابن مسعود         ـ رَضِيَ اللهُ عَنْه ـ .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 xml:space="preserve">ثالثاً ـ ظهرت </w:t>
      </w:r>
      <w:r w:rsidR="00BE1B87">
        <w:rPr>
          <w:rFonts w:hint="cs"/>
          <w:snapToGrid w:val="0"/>
          <w:rtl/>
        </w:rPr>
        <w:t xml:space="preserve">في </w:t>
      </w:r>
      <w:r>
        <w:rPr>
          <w:snapToGrid w:val="0"/>
          <w:rtl/>
        </w:rPr>
        <w:t>عهد التابعين نواة الخلاف المذهبي ، فظهرت بعض تفسيرات تحمل في طيَّاتها هذه المذاهب فالحسن البصري قد فسَّر القرآن على إثبات القَدَر ، ويُكَفِّر مَن يُكذِّب به مثل قتادة بن دعامة الذي اتهم بأنه قدري .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lastRenderedPageBreak/>
        <w:t>رابعاً ـ كثرة الخلاف بين التابعين في التفسير عما كان بين الصحابة ـ رضوان الله عليهم ـ ، وإن كان اختلافاً قليلاً بالنسبة لما وقع بعد ذلك من متأخري المفسِّرين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7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>خامساً ـ إن الحركة العلمية في العراق على العموم ، وحركة التفسير على وجه الخصوص ، تميزت من المدارس الأخرى زيادة على الإكثار من الرأي والاجتهاد ـ كما تقدم ـ بأن العراق كان أكثر البلاد الإسلامية ثروة علمية وأدبية ، وهذا راجع إلى جملة أسباب ، يمكن إيجازها بما يأتي :</w:t>
      </w:r>
    </w:p>
    <w:p w:rsidR="009F7F9D" w:rsidRDefault="00736B69" w:rsidP="009F7F9D">
      <w:pPr>
        <w:widowControl w:val="0"/>
        <w:numPr>
          <w:ilvl w:val="0"/>
          <w:numId w:val="1"/>
        </w:numPr>
        <w:tabs>
          <w:tab w:val="clear" w:pos="340"/>
          <w:tab w:val="num" w:pos="833"/>
        </w:tabs>
        <w:spacing w:before="120"/>
        <w:ind w:firstLine="0"/>
        <w:jc w:val="mediumKashida"/>
      </w:pPr>
      <w:r>
        <w:rPr>
          <w:rtl/>
        </w:rPr>
        <w:t>كثرة الحضارات والأديان القديمة التي كانت قائمة في العراق ، وقد اصطبغت هذه الآراء بالصبغة الإسلامية بعد الفتح ، وتفاعلت مع التجربة الإسلامية تفاعلاً قوياً ، كان للتفسير نصيبه الكبير منه .</w:t>
      </w:r>
    </w:p>
    <w:p w:rsidR="009F7F9D" w:rsidRDefault="00736B69" w:rsidP="009F7F9D">
      <w:pPr>
        <w:widowControl w:val="0"/>
        <w:numPr>
          <w:ilvl w:val="0"/>
          <w:numId w:val="1"/>
        </w:numPr>
        <w:tabs>
          <w:tab w:val="clear" w:pos="340"/>
          <w:tab w:val="num" w:pos="833"/>
        </w:tabs>
        <w:spacing w:before="120"/>
        <w:ind w:firstLine="0"/>
        <w:jc w:val="mediumKashida"/>
      </w:pPr>
      <w:r>
        <w:rPr>
          <w:rtl/>
        </w:rPr>
        <w:t>إن العراق بل</w:t>
      </w:r>
      <w:r w:rsidR="009F7F9D">
        <w:rPr>
          <w:rFonts w:hint="cs"/>
          <w:rtl/>
        </w:rPr>
        <w:t>د</w:t>
      </w:r>
      <w:r>
        <w:rPr>
          <w:rtl/>
        </w:rPr>
        <w:t xml:space="preserve"> غني تتوافر فيه أسباب العيش الرغيد وفرص العمل مما أسهم في التأثير إيجاباً في الحركة العلمية ، إذ كان يجد العلماء والناس لديهم فسحة من الوقت تسمح لهم بالتفرغ للعلم وطلبه ، وكذا استقطاب العلماء والمتعلمين .</w:t>
      </w:r>
    </w:p>
    <w:p w:rsidR="00417D23" w:rsidRDefault="00736B69" w:rsidP="009F7F9D">
      <w:pPr>
        <w:widowControl w:val="0"/>
        <w:numPr>
          <w:ilvl w:val="0"/>
          <w:numId w:val="1"/>
        </w:numPr>
        <w:tabs>
          <w:tab w:val="clear" w:pos="340"/>
          <w:tab w:val="num" w:pos="833"/>
        </w:tabs>
        <w:spacing w:before="120"/>
        <w:ind w:firstLine="0"/>
        <w:jc w:val="mediumKashida"/>
        <w:rPr>
          <w:rtl/>
        </w:rPr>
      </w:pPr>
      <w:r>
        <w:rPr>
          <w:rtl/>
        </w:rPr>
        <w:t>كثرة الفتن التي حصلت في العراق في هذا العهد ، إذ كان العراق ميداناً للتنازع بين كثير من الفرق بسبب أهميته الجغرافية والطبيعية والسياسية ، وهذه الصراعات أدت إلى ظهور التيارات الفكرية والسياسية مثل حركة الخوارج</w:t>
      </w:r>
      <w:r w:rsidRPr="009F7F9D"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8"/>
      </w:r>
      <w:r w:rsidRPr="009F7F9D">
        <w:rPr>
          <w:vertAlign w:val="superscript"/>
          <w:rtl/>
        </w:rPr>
        <w:t xml:space="preserve"> )</w:t>
      </w:r>
      <w:r>
        <w:rPr>
          <w:rtl/>
        </w:rPr>
        <w:t xml:space="preserve"> .</w:t>
      </w:r>
    </w:p>
    <w:p w:rsidR="00417D23" w:rsidRDefault="00736B69" w:rsidP="000333B7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>هذه العوامل مجتمعة أدت إلى بروز مدرسة التفسير في العراق وتميزها ، وحملها لواء التفسير في القرن الثاني كما سيتبين لنا ذلك في الفصل الثاني إن شاء الله تعالى .</w:t>
      </w:r>
    </w:p>
    <w:p w:rsidR="006A3160" w:rsidRDefault="006A3160" w:rsidP="000333B7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lastRenderedPageBreak/>
        <w:t xml:space="preserve">أما على صعيد التخصص في مدرستي البصرة والكوفة ، فأن مدرسة البصرة </w:t>
      </w:r>
      <w:r w:rsidRPr="00B60682">
        <w:rPr>
          <w:rtl/>
        </w:rPr>
        <w:t xml:space="preserve">اتسمت الطريقة التي يعالجون بها العلم بعلامات معينة </w:t>
      </w:r>
      <w:r w:rsidRPr="006A3160">
        <w:rPr>
          <w:rtl/>
        </w:rPr>
        <w:t>منها</w:t>
      </w:r>
      <w:r w:rsidRPr="006A3160">
        <w:rPr>
          <w:rFonts w:hint="cs"/>
          <w:rtl/>
        </w:rPr>
        <w:t xml:space="preserve"> </w:t>
      </w:r>
      <w:r w:rsidRPr="006A3160">
        <w:rPr>
          <w:rtl/>
        </w:rPr>
        <w:t>:</w:t>
      </w:r>
      <w:r w:rsidRPr="006A3160">
        <w:rPr>
          <w:rFonts w:hint="cs"/>
          <w:rtl/>
        </w:rPr>
        <w:t xml:space="preserve"> </w:t>
      </w:r>
      <w:r w:rsidRPr="006A3160">
        <w:rPr>
          <w:rtl/>
        </w:rPr>
        <w:t>الاهتمام بالتحليل والميل إلى الواقعية والتركيز على النقد</w:t>
      </w:r>
      <w:r w:rsidRPr="006A3160">
        <w:rPr>
          <w:vertAlign w:val="superscript"/>
          <w:rtl/>
        </w:rPr>
        <w:t xml:space="preserve">( </w:t>
      </w:r>
      <w:r w:rsidRPr="006A3160">
        <w:rPr>
          <w:rStyle w:val="FootnoteReference"/>
          <w:rtl/>
        </w:rPr>
        <w:footnoteReference w:id="9"/>
      </w:r>
      <w:r w:rsidRPr="006A3160">
        <w:rPr>
          <w:vertAlign w:val="superscript"/>
          <w:rtl/>
        </w:rPr>
        <w:t xml:space="preserve"> )</w:t>
      </w:r>
      <w:r w:rsidRPr="00B60682">
        <w:rPr>
          <w:rtl/>
        </w:rPr>
        <w:t xml:space="preserve"> .</w:t>
      </w:r>
    </w:p>
    <w:p w:rsidR="006A3160" w:rsidRPr="00B60682" w:rsidRDefault="006A3160" w:rsidP="000333B7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أما مدرسة الكوفة ف</w:t>
      </w:r>
      <w:r w:rsidRPr="00B60682">
        <w:rPr>
          <w:rtl/>
        </w:rPr>
        <w:t>اتخذ</w:t>
      </w:r>
      <w:r>
        <w:rPr>
          <w:rFonts w:hint="cs"/>
          <w:rtl/>
        </w:rPr>
        <w:t>ت</w:t>
      </w:r>
      <w:r w:rsidRPr="00B60682">
        <w:rPr>
          <w:rtl/>
        </w:rPr>
        <w:t xml:space="preserve"> طريقة " التحفيظ والتسميع في القرآن الكريم خاصة " وهي الطريقة المقبولة التي لا يعتريها عيب مع كتاب الله لأنه لا يصح أن يعتمد التلميذ فيه على نفسه خشية الزلل ، وليس فيها كبت للقدرات والمواهب إذا ما اقتصرت على هذا الموضوع (موضوع التحفيظ والتسميع في القرآن الكريم خاصة) </w:t>
      </w:r>
      <w:r>
        <w:rPr>
          <w:rFonts w:hint="cs"/>
          <w:rtl/>
        </w:rPr>
        <w:t xml:space="preserve">، </w:t>
      </w:r>
      <w:r w:rsidRPr="00B60682">
        <w:rPr>
          <w:rtl/>
        </w:rPr>
        <w:t>أما في غيره من العلوم فإنها تركت للتلميذ حريته في اختيار المادة والموضوع الذي يريد دراسته، ويتناسب مع مواهبه واستعداده مع التأكد من صدق اختياره وميوله ، ومع التوجيه والشرح والإلقاء من الأستاذ والسؤال والمراجعة والفهم الخاص من التلميذ ؛ فلم تترك للتلميذ مطلق الحرية في الاختيار والفهم ، ولم تسلبه استعداده بالكلية .</w:t>
      </w:r>
    </w:p>
    <w:p w:rsidR="006A3160" w:rsidRPr="00B60682" w:rsidRDefault="006A3160" w:rsidP="000333B7">
      <w:pPr>
        <w:widowControl w:val="0"/>
        <w:spacing w:before="120"/>
        <w:ind w:firstLine="720"/>
        <w:jc w:val="mediumKashida"/>
        <w:rPr>
          <w:rtl/>
        </w:rPr>
      </w:pPr>
      <w:r w:rsidRPr="00B60682">
        <w:rPr>
          <w:rtl/>
        </w:rPr>
        <w:t xml:space="preserve">وتحقيقاً لهذا فإنهم لجؤوا إلى انتقاء التلاميذ حسب صلاحيتهم للعلم عامة ، ولفرع من الفروع بصفة خاصة وقد يرفض الأستاذ تلميذاً لعدم صلاحيته في مجال العلوم النظرية ويدلنا على هذا قول الحارث بن سويد </w:t>
      </w:r>
      <w:r w:rsidR="0069617E">
        <w:rPr>
          <w:rFonts w:hint="cs"/>
          <w:rtl/>
        </w:rPr>
        <w:t>"</w:t>
      </w:r>
      <w:r w:rsidRPr="00B60682">
        <w:rPr>
          <w:rtl/>
        </w:rPr>
        <w:t xml:space="preserve"> إن كان الرجل ليتبعنا إلى عبد الله بن مسعود – أستاذ مدرسة الكوفة الأول – فيما يقبله يرده</w:t>
      </w:r>
      <w:r w:rsidRPr="006A3160">
        <w:rPr>
          <w:rtl/>
        </w:rPr>
        <w:t xml:space="preserve"> </w:t>
      </w:r>
      <w:r w:rsidR="0069617E">
        <w:rPr>
          <w:rFonts w:hint="cs"/>
          <w:rtl/>
        </w:rPr>
        <w:t>"</w:t>
      </w:r>
      <w:r w:rsidR="003C6E6F" w:rsidRPr="006A3160">
        <w:rPr>
          <w:vertAlign w:val="superscript"/>
          <w:rtl/>
        </w:rPr>
        <w:t xml:space="preserve">( </w:t>
      </w:r>
      <w:r w:rsidR="003C6E6F" w:rsidRPr="006A3160">
        <w:rPr>
          <w:rStyle w:val="FootnoteReference"/>
          <w:rtl/>
        </w:rPr>
        <w:footnoteReference w:id="10"/>
      </w:r>
      <w:r w:rsidR="003C6E6F" w:rsidRPr="006A3160">
        <w:rPr>
          <w:vertAlign w:val="superscript"/>
          <w:rtl/>
        </w:rPr>
        <w:t xml:space="preserve"> )</w:t>
      </w:r>
      <w:r w:rsidR="003C6E6F" w:rsidRPr="006A3160">
        <w:rPr>
          <w:rtl/>
        </w:rPr>
        <w:t xml:space="preserve"> </w:t>
      </w:r>
      <w:r w:rsidRPr="00B60682">
        <w:rPr>
          <w:rtl/>
        </w:rPr>
        <w:t>لعدم صلاحيته للتلقي ولا يتم هذا على وجه الدقة إلا بخبرة الأستاذ وفراسته</w:t>
      </w:r>
      <w:r w:rsidR="0069617E">
        <w:rPr>
          <w:rFonts w:hint="cs"/>
          <w:rtl/>
        </w:rPr>
        <w:t xml:space="preserve"> ، </w:t>
      </w:r>
      <w:r w:rsidRPr="00B60682">
        <w:rPr>
          <w:rtl/>
        </w:rPr>
        <w:t xml:space="preserve">فمدرسة العراق </w:t>
      </w:r>
      <w:r w:rsidR="003C6E6F">
        <w:rPr>
          <w:rFonts w:hint="cs"/>
          <w:rtl/>
        </w:rPr>
        <w:t>ـ</w:t>
      </w:r>
      <w:r w:rsidRPr="00B60682">
        <w:rPr>
          <w:rtl/>
        </w:rPr>
        <w:t xml:space="preserve"> الكوفة والبصرة </w:t>
      </w:r>
      <w:r w:rsidR="003C6E6F">
        <w:rPr>
          <w:rFonts w:hint="cs"/>
          <w:rtl/>
        </w:rPr>
        <w:t>ـ</w:t>
      </w:r>
      <w:r w:rsidRPr="00B60682">
        <w:rPr>
          <w:rtl/>
        </w:rPr>
        <w:t xml:space="preserve"> طريقتها الإكثار من تفسير القرآن بالرأي والاجتهاد</w:t>
      </w:r>
      <w:r w:rsidR="0069617E" w:rsidRPr="006A3160">
        <w:rPr>
          <w:vertAlign w:val="superscript"/>
          <w:rtl/>
        </w:rPr>
        <w:t xml:space="preserve">( </w:t>
      </w:r>
      <w:r w:rsidR="0069617E" w:rsidRPr="006A3160">
        <w:rPr>
          <w:rStyle w:val="FootnoteReference"/>
          <w:rtl/>
        </w:rPr>
        <w:footnoteReference w:id="11"/>
      </w:r>
      <w:r w:rsidR="0069617E" w:rsidRPr="006A3160">
        <w:rPr>
          <w:vertAlign w:val="superscript"/>
          <w:rtl/>
        </w:rPr>
        <w:t xml:space="preserve"> )</w:t>
      </w:r>
      <w:r w:rsidRPr="00B60682">
        <w:rPr>
          <w:rtl/>
        </w:rPr>
        <w:t xml:space="preserve"> </w:t>
      </w:r>
      <w:r w:rsidR="0069617E">
        <w:rPr>
          <w:rFonts w:hint="cs"/>
          <w:rtl/>
        </w:rPr>
        <w:t xml:space="preserve"> </w:t>
      </w:r>
      <w:r w:rsidRPr="00B60682">
        <w:rPr>
          <w:rtl/>
        </w:rPr>
        <w:t>وذلك لأسباب ثلاثة</w:t>
      </w:r>
      <w:r w:rsidR="0069617E">
        <w:rPr>
          <w:rFonts w:hint="cs"/>
          <w:rtl/>
        </w:rPr>
        <w:t xml:space="preserve"> </w:t>
      </w:r>
      <w:r w:rsidRPr="00B60682">
        <w:rPr>
          <w:rtl/>
        </w:rPr>
        <w:t>:</w:t>
      </w:r>
    </w:p>
    <w:p w:rsidR="006A3160" w:rsidRPr="00B60682" w:rsidRDefault="006A3160" w:rsidP="000333B7">
      <w:pPr>
        <w:widowControl w:val="0"/>
        <w:spacing w:before="120"/>
        <w:ind w:firstLine="720"/>
        <w:jc w:val="mediumKashida"/>
        <w:rPr>
          <w:rtl/>
        </w:rPr>
      </w:pPr>
      <w:r w:rsidRPr="00B60682">
        <w:rPr>
          <w:rtl/>
        </w:rPr>
        <w:lastRenderedPageBreak/>
        <w:t xml:space="preserve">الأول: تأثير سيدنا عبد الله بن مسعود </w:t>
      </w:r>
      <w:r w:rsidR="003C6E6F">
        <w:rPr>
          <w:rFonts w:hint="cs"/>
          <w:rtl/>
        </w:rPr>
        <w:t xml:space="preserve">ـ رَضِيَ اللهُ عَنْه ـ </w:t>
      </w:r>
      <w:r w:rsidRPr="00B60682">
        <w:rPr>
          <w:rtl/>
        </w:rPr>
        <w:t>فيهم الذي يعتد بالرأي حيث لا نص .</w:t>
      </w:r>
    </w:p>
    <w:p w:rsidR="006A3160" w:rsidRPr="00B60682" w:rsidRDefault="006A3160" w:rsidP="000333B7">
      <w:pPr>
        <w:widowControl w:val="0"/>
        <w:spacing w:before="120"/>
        <w:ind w:firstLine="720"/>
        <w:jc w:val="mediumKashida"/>
        <w:rPr>
          <w:rtl/>
        </w:rPr>
      </w:pPr>
      <w:r w:rsidRPr="00B60682">
        <w:rPr>
          <w:rtl/>
        </w:rPr>
        <w:t xml:space="preserve">الثاني: أن الحديث كان في العراق قليلاً وكان أكثر رواة الحديث في الحجاز ؛ لأنه موطن النبي </w:t>
      </w:r>
      <w:r w:rsidR="003C6E6F">
        <w:rPr>
          <w:rFonts w:hint="cs"/>
          <w:rtl/>
        </w:rPr>
        <w:t xml:space="preserve">ـ </w:t>
      </w:r>
      <w:r w:rsidRPr="00B60682">
        <w:rPr>
          <w:rtl/>
        </w:rPr>
        <w:t xml:space="preserve">صلى الله عليه وسلم </w:t>
      </w:r>
      <w:r w:rsidR="003C6E6F">
        <w:rPr>
          <w:rFonts w:hint="cs"/>
          <w:rtl/>
        </w:rPr>
        <w:t xml:space="preserve">ـ </w:t>
      </w:r>
      <w:r w:rsidRPr="00B60682">
        <w:rPr>
          <w:rtl/>
        </w:rPr>
        <w:t xml:space="preserve">وكبار الصحابة </w:t>
      </w:r>
    </w:p>
    <w:p w:rsidR="006A3160" w:rsidRPr="00B60682" w:rsidRDefault="006A3160" w:rsidP="000333B7">
      <w:pPr>
        <w:widowControl w:val="0"/>
        <w:spacing w:before="120"/>
        <w:ind w:firstLine="720"/>
        <w:jc w:val="mediumKashida"/>
        <w:rPr>
          <w:rtl/>
        </w:rPr>
      </w:pPr>
      <w:r w:rsidRPr="00B60682">
        <w:rPr>
          <w:rtl/>
        </w:rPr>
        <w:t>الثالث: أن العراق بلد متمدن تأثر إلى درجة كبيرة بالمدنية الفارسية واليونانية</w:t>
      </w:r>
      <w:r w:rsidR="00CE07CF" w:rsidRPr="006A3160">
        <w:rPr>
          <w:vertAlign w:val="superscript"/>
          <w:rtl/>
        </w:rPr>
        <w:t xml:space="preserve"> </w:t>
      </w:r>
      <w:r w:rsidR="004C3F49" w:rsidRPr="006A3160">
        <w:rPr>
          <w:vertAlign w:val="superscript"/>
          <w:rtl/>
        </w:rPr>
        <w:t xml:space="preserve">( </w:t>
      </w:r>
      <w:r w:rsidR="004C3F49" w:rsidRPr="006A3160">
        <w:rPr>
          <w:rStyle w:val="FootnoteReference"/>
          <w:rtl/>
        </w:rPr>
        <w:footnoteReference w:id="12"/>
      </w:r>
      <w:r w:rsidR="004C3F49" w:rsidRPr="006A3160">
        <w:rPr>
          <w:vertAlign w:val="superscript"/>
          <w:rtl/>
        </w:rPr>
        <w:t xml:space="preserve"> )</w:t>
      </w:r>
      <w:r w:rsidRPr="00B60682">
        <w:rPr>
          <w:rtl/>
        </w:rPr>
        <w:t xml:space="preserve"> .</w:t>
      </w:r>
    </w:p>
    <w:p w:rsidR="006A3160" w:rsidRPr="00B60682" w:rsidRDefault="006A3160" w:rsidP="000333B7">
      <w:pPr>
        <w:widowControl w:val="0"/>
        <w:spacing w:before="120"/>
        <w:ind w:firstLine="720"/>
        <w:jc w:val="mediumKashida"/>
        <w:rPr>
          <w:rtl/>
        </w:rPr>
      </w:pPr>
    </w:p>
    <w:p w:rsidR="006A3160" w:rsidRDefault="006A3160" w:rsidP="000333B7">
      <w:pPr>
        <w:widowControl w:val="0"/>
        <w:spacing w:before="120"/>
        <w:ind w:firstLine="720"/>
        <w:jc w:val="mediumKashida"/>
        <w:rPr>
          <w:rtl/>
        </w:rPr>
      </w:pPr>
    </w:p>
    <w:sectPr w:rsidR="006A3160" w:rsidSect="00BE1B87">
      <w:footerReference w:type="even" r:id="rId7"/>
      <w:footerReference w:type="default" r:id="rId8"/>
      <w:footnotePr>
        <w:numRestart w:val="eachPage"/>
      </w:footnotePr>
      <w:pgSz w:w="11906" w:h="16838"/>
      <w:pgMar w:top="1440" w:right="1800" w:bottom="1440" w:left="1800" w:header="720" w:footer="720" w:gutter="0"/>
      <w:pgNumType w:start="95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935" w:rsidRDefault="00CB1935">
      <w:r>
        <w:separator/>
      </w:r>
    </w:p>
  </w:endnote>
  <w:endnote w:type="continuationSeparator" w:id="1">
    <w:p w:rsidR="00CB1935" w:rsidRDefault="00CB1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Kharashi 4">
    <w:charset w:val="B2"/>
    <w:family w:val="auto"/>
    <w:pitch w:val="variable"/>
    <w:sig w:usb0="00002001" w:usb1="00000000" w:usb2="00000000" w:usb3="00000000" w:csb0="00000040" w:csb1="00000000"/>
  </w:font>
  <w:font w:name="Hesham Cortoba"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D23" w:rsidRDefault="001517F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736B69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736B69">
      <w:rPr>
        <w:rStyle w:val="PageNumber"/>
        <w:rtl/>
      </w:rPr>
      <w:t>28</w:t>
    </w:r>
    <w:r>
      <w:rPr>
        <w:rStyle w:val="PageNumber"/>
        <w:rtl/>
      </w:rPr>
      <w:fldChar w:fldCharType="end"/>
    </w:r>
  </w:p>
  <w:p w:rsidR="00417D23" w:rsidRDefault="00417D2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59940"/>
      <w:docPartObj>
        <w:docPartGallery w:val="Page Numbers (Bottom of Page)"/>
        <w:docPartUnique/>
      </w:docPartObj>
    </w:sdtPr>
    <w:sdtEndPr>
      <w:rPr>
        <w:szCs w:val="32"/>
      </w:rPr>
    </w:sdtEndPr>
    <w:sdtContent>
      <w:p w:rsidR="00BE1B87" w:rsidRDefault="001517FD">
        <w:pPr>
          <w:pStyle w:val="Footer"/>
          <w:jc w:val="center"/>
        </w:pPr>
        <w:r w:rsidRPr="00BE1B87">
          <w:rPr>
            <w:szCs w:val="32"/>
          </w:rPr>
          <w:fldChar w:fldCharType="begin"/>
        </w:r>
        <w:r w:rsidR="00BE1B87" w:rsidRPr="00BE1B87">
          <w:rPr>
            <w:szCs w:val="32"/>
          </w:rPr>
          <w:instrText xml:space="preserve"> PAGE   \* MERGEFORMAT </w:instrText>
        </w:r>
        <w:r w:rsidRPr="00BE1B87">
          <w:rPr>
            <w:szCs w:val="32"/>
          </w:rPr>
          <w:fldChar w:fldCharType="separate"/>
        </w:r>
        <w:r w:rsidR="00043BE4" w:rsidRPr="00043BE4">
          <w:rPr>
            <w:noProof/>
            <w:szCs w:val="32"/>
            <w:rtl/>
            <w:lang w:val="ar-SA"/>
          </w:rPr>
          <w:t>100</w:t>
        </w:r>
        <w:r w:rsidRPr="00BE1B87">
          <w:rPr>
            <w:szCs w:val="32"/>
          </w:rPr>
          <w:fldChar w:fldCharType="end"/>
        </w:r>
      </w:p>
    </w:sdtContent>
  </w:sdt>
  <w:p w:rsidR="00417D23" w:rsidRDefault="00417D23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935" w:rsidRDefault="00CB1935">
      <w:pPr>
        <w:jc w:val="lowKashida"/>
      </w:pPr>
      <w:r>
        <w:separator/>
      </w:r>
    </w:p>
  </w:footnote>
  <w:footnote w:type="continuationSeparator" w:id="1">
    <w:p w:rsidR="00CB1935" w:rsidRDefault="00CB1935">
      <w:pPr>
        <w:pStyle w:val="Footer"/>
      </w:pPr>
      <w:r>
        <w:separator/>
      </w:r>
    </w:p>
  </w:footnote>
  <w:footnote w:id="2">
    <w:p w:rsidR="00417D23" w:rsidRDefault="00736B69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  <w:t>تَفْسِيْر الْقُرْآن العَظِيم : 1/16 .</w:t>
      </w:r>
    </w:p>
  </w:footnote>
  <w:footnote w:id="3">
    <w:p w:rsidR="00417D23" w:rsidRDefault="00736B69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  <w:t>سورة عبس : الآية 31 .</w:t>
      </w:r>
    </w:p>
  </w:footnote>
  <w:footnote w:id="4">
    <w:p w:rsidR="00417D23" w:rsidRDefault="00736B69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  <w:t>سورة المائدة : من الآية 3 .</w:t>
      </w:r>
    </w:p>
  </w:footnote>
  <w:footnote w:id="5">
    <w:p w:rsidR="00417D23" w:rsidRDefault="00736B69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  <w:t>يُنْظَرُ : التفسير والمفسرون : 1/ 97 ـ 98 .</w:t>
      </w:r>
    </w:p>
  </w:footnote>
  <w:footnote w:id="6">
    <w:p w:rsidR="00417D23" w:rsidRDefault="00736B69" w:rsidP="00E278F8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  <w:t xml:space="preserve">يُنْظَرُ : </w:t>
      </w:r>
      <w:r w:rsidR="00E278F8">
        <w:rPr>
          <w:rtl/>
        </w:rPr>
        <w:t>التفسير والمفسرون</w:t>
      </w:r>
      <w:r w:rsidR="00E278F8">
        <w:rPr>
          <w:rFonts w:hint="cs"/>
          <w:rtl/>
        </w:rPr>
        <w:t xml:space="preserve"> </w:t>
      </w:r>
      <w:r>
        <w:rPr>
          <w:rtl/>
        </w:rPr>
        <w:t>: 1/ 118 .</w:t>
      </w:r>
    </w:p>
  </w:footnote>
  <w:footnote w:id="7">
    <w:p w:rsidR="00417D23" w:rsidRDefault="00736B69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  <w:t>يُنْظَرُ : التفسير والمفسرون : 1/ 130 ـ 131 .</w:t>
      </w:r>
    </w:p>
  </w:footnote>
  <w:footnote w:id="8">
    <w:p w:rsidR="00417D23" w:rsidRDefault="00736B69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  <w:t>يُنْظَرُ : فجر الإسلام : 182 ـ 183 .</w:t>
      </w:r>
    </w:p>
  </w:footnote>
  <w:footnote w:id="9">
    <w:p w:rsidR="006A3160" w:rsidRDefault="006A3160" w:rsidP="003C0E30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  <w:t xml:space="preserve">يُنْظَرُ : </w:t>
      </w:r>
      <w:r w:rsidR="008D03B6" w:rsidRPr="00273796">
        <w:rPr>
          <w:sz w:val="24"/>
          <w:rtl/>
        </w:rPr>
        <w:t xml:space="preserve">التصوف الإسلامي في ميزان الكتاب والسنة </w:t>
      </w:r>
      <w:r w:rsidR="008D03B6">
        <w:rPr>
          <w:rFonts w:hint="cs"/>
          <w:sz w:val="24"/>
          <w:rtl/>
        </w:rPr>
        <w:t>، ل</w:t>
      </w:r>
      <w:r w:rsidR="008D03B6" w:rsidRPr="00273796">
        <w:rPr>
          <w:sz w:val="24"/>
          <w:rtl/>
        </w:rPr>
        <w:t>عبد الله يوسف الشاذلي</w:t>
      </w:r>
      <w:r w:rsidR="008D03B6">
        <w:rPr>
          <w:rFonts w:hint="cs"/>
          <w:sz w:val="24"/>
          <w:rtl/>
        </w:rPr>
        <w:t xml:space="preserve"> ، </w:t>
      </w:r>
      <w:r w:rsidR="003C0E30">
        <w:rPr>
          <w:rFonts w:hint="cs"/>
          <w:sz w:val="24"/>
          <w:rtl/>
        </w:rPr>
        <w:t xml:space="preserve">دار الرياض ، السعودية ، بلا تاريخ : </w:t>
      </w:r>
      <w:r w:rsidR="003C0E30">
        <w:rPr>
          <w:rFonts w:hint="cs"/>
          <w:rtl/>
        </w:rPr>
        <w:t>1/79 .</w:t>
      </w:r>
    </w:p>
  </w:footnote>
  <w:footnote w:id="10">
    <w:p w:rsidR="003C6E6F" w:rsidRDefault="003C6E6F" w:rsidP="0069617E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  <w:t xml:space="preserve"> </w:t>
      </w:r>
      <w:r w:rsidR="0069617E">
        <w:rPr>
          <w:rtl/>
        </w:rPr>
        <w:t>الطَبَقَات الكُبْرَى</w:t>
      </w:r>
      <w:r w:rsidR="0069617E">
        <w:rPr>
          <w:rFonts w:hint="cs"/>
          <w:rtl/>
        </w:rPr>
        <w:t xml:space="preserve"> : 6/167 .</w:t>
      </w:r>
    </w:p>
  </w:footnote>
  <w:footnote w:id="11">
    <w:p w:rsidR="0069617E" w:rsidRDefault="0069617E" w:rsidP="0069617E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  <w:t xml:space="preserve">يُنْظَرُ : </w:t>
      </w:r>
      <w:r w:rsidRPr="00273796">
        <w:rPr>
          <w:sz w:val="24"/>
          <w:rtl/>
        </w:rPr>
        <w:t xml:space="preserve">التفسير والمفسرون </w:t>
      </w:r>
      <w:r>
        <w:rPr>
          <w:rFonts w:hint="cs"/>
          <w:sz w:val="24"/>
          <w:rtl/>
        </w:rPr>
        <w:t>: 1/</w:t>
      </w:r>
      <w:r w:rsidRPr="00273796">
        <w:rPr>
          <w:sz w:val="24"/>
          <w:rtl/>
        </w:rPr>
        <w:t>118 .</w:t>
      </w:r>
    </w:p>
  </w:footnote>
  <w:footnote w:id="12">
    <w:p w:rsidR="004C3F49" w:rsidRDefault="004C3F49" w:rsidP="0069617E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  <w:t xml:space="preserve">يُنْظَرُ : </w:t>
      </w:r>
      <w:r w:rsidR="0069617E" w:rsidRPr="00273796">
        <w:rPr>
          <w:sz w:val="24"/>
          <w:rtl/>
        </w:rPr>
        <w:t xml:space="preserve">فجر الإسلام </w:t>
      </w:r>
      <w:r w:rsidR="0069617E">
        <w:rPr>
          <w:rFonts w:hint="cs"/>
          <w:sz w:val="24"/>
          <w:rtl/>
        </w:rPr>
        <w:t xml:space="preserve">: </w:t>
      </w:r>
      <w:r w:rsidR="0069617E" w:rsidRPr="00273796">
        <w:rPr>
          <w:sz w:val="24"/>
          <w:rtl/>
        </w:rPr>
        <w:t>382</w:t>
      </w:r>
      <w:r w:rsidR="0069617E">
        <w:rPr>
          <w:rFonts w:hint="cs"/>
          <w:sz w:val="24"/>
          <w:rtl/>
        </w:rPr>
        <w:t xml:space="preserve"> ـ</w:t>
      </w:r>
      <w:r w:rsidR="0069617E" w:rsidRPr="00273796">
        <w:rPr>
          <w:sz w:val="24"/>
          <w:rtl/>
        </w:rPr>
        <w:t xml:space="preserve"> 384 .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F42C7"/>
    <w:multiLevelType w:val="singleLevel"/>
    <w:tmpl w:val="5DDC1D1C"/>
    <w:lvl w:ilvl="0">
      <w:start w:val="1"/>
      <w:numFmt w:val="arabicAbjad"/>
      <w:lvlText w:val="%1."/>
      <w:lvlJc w:val="right"/>
      <w:pPr>
        <w:tabs>
          <w:tab w:val="num" w:pos="340"/>
        </w:tabs>
        <w:ind w:left="340" w:hanging="113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736B69"/>
    <w:rsid w:val="000333B7"/>
    <w:rsid w:val="00043BE4"/>
    <w:rsid w:val="001517FD"/>
    <w:rsid w:val="003C0E30"/>
    <w:rsid w:val="003C6E6F"/>
    <w:rsid w:val="00417D23"/>
    <w:rsid w:val="00482C5A"/>
    <w:rsid w:val="004C3F49"/>
    <w:rsid w:val="0069617E"/>
    <w:rsid w:val="006A3160"/>
    <w:rsid w:val="00736B69"/>
    <w:rsid w:val="00760205"/>
    <w:rsid w:val="00776A66"/>
    <w:rsid w:val="008D03B6"/>
    <w:rsid w:val="009316ED"/>
    <w:rsid w:val="009F7F9D"/>
    <w:rsid w:val="00AF20BB"/>
    <w:rsid w:val="00B659AD"/>
    <w:rsid w:val="00BE1B87"/>
    <w:rsid w:val="00CB1935"/>
    <w:rsid w:val="00CE07CF"/>
    <w:rsid w:val="00E21671"/>
    <w:rsid w:val="00E278F8"/>
    <w:rsid w:val="00E42B21"/>
    <w:rsid w:val="00F25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D23"/>
    <w:pPr>
      <w:bidi/>
    </w:pPr>
    <w:rPr>
      <w:rFonts w:cs="Simplified Arabi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417D23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417D23"/>
    <w:rPr>
      <w:vertAlign w:val="superscript"/>
    </w:rPr>
  </w:style>
  <w:style w:type="paragraph" w:styleId="Footer">
    <w:name w:val="footer"/>
    <w:basedOn w:val="Normal"/>
    <w:link w:val="FooterChar"/>
    <w:uiPriority w:val="99"/>
    <w:rsid w:val="00417D23"/>
    <w:pPr>
      <w:tabs>
        <w:tab w:val="center" w:pos="4153"/>
        <w:tab w:val="right" w:pos="8306"/>
      </w:tabs>
    </w:pPr>
    <w:rPr>
      <w:szCs w:val="38"/>
    </w:rPr>
  </w:style>
  <w:style w:type="character" w:styleId="PageNumber">
    <w:name w:val="page number"/>
    <w:basedOn w:val="DefaultParagraphFont"/>
    <w:semiHidden/>
    <w:rsid w:val="00417D23"/>
  </w:style>
  <w:style w:type="paragraph" w:styleId="Header">
    <w:name w:val="header"/>
    <w:basedOn w:val="Normal"/>
    <w:semiHidden/>
    <w:rsid w:val="00417D23"/>
    <w:pPr>
      <w:tabs>
        <w:tab w:val="center" w:pos="4153"/>
        <w:tab w:val="right" w:pos="8306"/>
      </w:tabs>
    </w:pPr>
    <w:rPr>
      <w:szCs w:val="38"/>
    </w:rPr>
  </w:style>
  <w:style w:type="paragraph" w:styleId="BodyTextIndent">
    <w:name w:val="Body Text Indent"/>
    <w:basedOn w:val="Normal"/>
    <w:semiHidden/>
    <w:rsid w:val="00417D23"/>
    <w:pPr>
      <w:widowControl w:val="0"/>
      <w:spacing w:before="120"/>
      <w:ind w:firstLine="720"/>
      <w:jc w:val="mediumKashida"/>
    </w:pPr>
  </w:style>
  <w:style w:type="paragraph" w:styleId="BodyText">
    <w:name w:val="Body Text"/>
    <w:basedOn w:val="Normal"/>
    <w:link w:val="BodyTextChar"/>
    <w:uiPriority w:val="99"/>
    <w:semiHidden/>
    <w:unhideWhenUsed/>
    <w:rsid w:val="006A31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A3160"/>
    <w:rPr>
      <w:rFonts w:cs="Simplified Arabic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0333B7"/>
    <w:rPr>
      <w:rFonts w:cs="Simplified Arabic"/>
      <w:sz w:val="32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952</Words>
  <Characters>5432</Characters>
  <Application>Microsoft Office Word</Application>
  <DocSecurity>0</DocSecurity>
  <Lines>45</Lines>
  <Paragraphs>12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الطريقة الفاضلية</Company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الشيخ حسين الفاضلي</dc:creator>
  <cp:keywords/>
  <cp:lastModifiedBy>AHMED.J</cp:lastModifiedBy>
  <cp:revision>15</cp:revision>
  <cp:lastPrinted>2000-01-30T06:01:00Z</cp:lastPrinted>
  <dcterms:created xsi:type="dcterms:W3CDTF">2008-06-02T00:48:00Z</dcterms:created>
  <dcterms:modified xsi:type="dcterms:W3CDTF">2009-04-04T15:02:00Z</dcterms:modified>
</cp:coreProperties>
</file>